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A2" w:rsidRPr="00F52BA2" w:rsidRDefault="00F52BA2" w:rsidP="00F52BA2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F52BA2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30DC3079" wp14:editId="0A3C71F2">
            <wp:extent cx="930910" cy="8566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A2" w:rsidRPr="00F52BA2" w:rsidRDefault="00F52BA2" w:rsidP="00F52BA2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F52BA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F52BA2" w:rsidRPr="00F52BA2" w:rsidRDefault="00F52BA2" w:rsidP="00F52BA2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F52BA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F52BA2" w:rsidRPr="00F52BA2" w:rsidRDefault="00F52BA2" w:rsidP="00F52BA2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F52BA2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F52BA2" w:rsidRPr="00F52BA2" w:rsidRDefault="00F52BA2" w:rsidP="00F52BA2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F52BA2" w:rsidRPr="00F52BA2" w:rsidRDefault="00F52BA2" w:rsidP="00F52BA2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lang w:eastAsia="en-US"/>
        </w:rPr>
      </w:pPr>
      <w:r w:rsidRPr="00F52BA2">
        <w:rPr>
          <w:rFonts w:ascii="Bookman Old Style" w:eastAsia="Calibri" w:hAnsi="Bookman Old Style" w:cs="Times New Roman"/>
          <w:i/>
          <w:lang w:eastAsia="en-US"/>
        </w:rPr>
        <w:t>№ 1</w:t>
      </w:r>
      <w:r>
        <w:rPr>
          <w:rFonts w:ascii="Bookman Old Style" w:eastAsia="Calibri" w:hAnsi="Bookman Old Style" w:cs="Times New Roman"/>
          <w:i/>
          <w:lang w:eastAsia="en-US"/>
        </w:rPr>
        <w:t>60</w:t>
      </w:r>
      <w:r w:rsidRPr="00F52BA2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 от 29 мая 2019 г.</w:t>
      </w:r>
    </w:p>
    <w:p w:rsidR="005A7B9D" w:rsidRPr="00E02920" w:rsidRDefault="005A7B9D" w:rsidP="005A7B9D">
      <w:pPr>
        <w:spacing w:after="0"/>
        <w:ind w:left="709"/>
        <w:rPr>
          <w:rFonts w:ascii="Bookman Old Style" w:eastAsia="Times New Roman" w:hAnsi="Bookman Old Style" w:cs="Times New Roman"/>
          <w:sz w:val="24"/>
          <w:szCs w:val="24"/>
        </w:rPr>
      </w:pPr>
    </w:p>
    <w:p w:rsidR="005A7B9D" w:rsidRPr="00603CC4" w:rsidRDefault="005A7B9D" w:rsidP="005A7B9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7B9D" w:rsidRPr="00603CC4" w:rsidRDefault="005A7B9D" w:rsidP="005A7B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 xml:space="preserve">О внесении изменений в решение Собрания  </w:t>
      </w:r>
    </w:p>
    <w:p w:rsidR="005A7B9D" w:rsidRPr="00603CC4" w:rsidRDefault="005A7B9D" w:rsidP="005A7B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>Представителей Моздокского района Республики</w:t>
      </w:r>
    </w:p>
    <w:p w:rsidR="005A7B9D" w:rsidRPr="00603CC4" w:rsidRDefault="005A7B9D" w:rsidP="005A7B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>Северная Осетия-Алания от 18 апреля 2017 года</w:t>
      </w:r>
      <w:r>
        <w:rPr>
          <w:rFonts w:ascii="Bookman Old Style" w:hAnsi="Bookman Old Style"/>
          <w:sz w:val="24"/>
          <w:szCs w:val="24"/>
        </w:rPr>
        <w:t xml:space="preserve"> №440</w:t>
      </w:r>
    </w:p>
    <w:p w:rsidR="005A7B9D" w:rsidRPr="00603CC4" w:rsidRDefault="005A7B9D" w:rsidP="005A7B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 xml:space="preserve">«Об утверждении </w:t>
      </w:r>
      <w:r w:rsidRPr="00603CC4">
        <w:rPr>
          <w:rFonts w:ascii="Bookman Old Style" w:hAnsi="Bookman Old Style" w:cs="Times New Roman"/>
          <w:sz w:val="24"/>
          <w:szCs w:val="24"/>
        </w:rPr>
        <w:t xml:space="preserve">программы </w:t>
      </w:r>
      <w:proofErr w:type="gramStart"/>
      <w:r w:rsidRPr="00603CC4">
        <w:rPr>
          <w:rFonts w:ascii="Bookman Old Style" w:hAnsi="Bookman Old Style" w:cs="Times New Roman"/>
          <w:sz w:val="24"/>
          <w:szCs w:val="24"/>
        </w:rPr>
        <w:t>социально-экономического</w:t>
      </w:r>
      <w:proofErr w:type="gramEnd"/>
      <w:r w:rsidRPr="00603CC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A7B9D" w:rsidRPr="00603CC4" w:rsidRDefault="005A7B9D" w:rsidP="005A7B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развития</w:t>
      </w:r>
      <w:r w:rsidRPr="00603CC4">
        <w:rPr>
          <w:rFonts w:ascii="Bookman Old Style" w:hAnsi="Bookman Old Style" w:cs="Times New Roman"/>
          <w:sz w:val="24"/>
          <w:szCs w:val="24"/>
        </w:rPr>
        <w:t xml:space="preserve"> Моздокского района Республики</w:t>
      </w:r>
    </w:p>
    <w:p w:rsidR="005A7B9D" w:rsidRPr="00603CC4" w:rsidRDefault="005A7B9D" w:rsidP="005A7B9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03CC4">
        <w:rPr>
          <w:rFonts w:ascii="Bookman Old Style" w:hAnsi="Bookman Old Style" w:cs="Times New Roman"/>
          <w:sz w:val="24"/>
          <w:szCs w:val="24"/>
        </w:rPr>
        <w:t xml:space="preserve">Северная Осетия-Алания на 2017-2019 годы» </w:t>
      </w:r>
    </w:p>
    <w:p w:rsidR="005A7B9D" w:rsidRPr="006F63FB" w:rsidRDefault="005A7B9D" w:rsidP="005A7B9D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6F63FB" w:rsidRDefault="005A7B9D" w:rsidP="005A7B9D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E02920" w:rsidRDefault="005A7B9D" w:rsidP="005A7B9D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Default="005A7B9D" w:rsidP="005A7B9D">
      <w:pPr>
        <w:pStyle w:val="ConsPlusNormal"/>
        <w:ind w:firstLine="567"/>
        <w:jc w:val="both"/>
        <w:rPr>
          <w:rFonts w:ascii="Bookman Old Style" w:eastAsia="Times New Roman" w:hAnsi="Bookman Old Style" w:cs="Calibri"/>
          <w:sz w:val="24"/>
          <w:szCs w:val="24"/>
        </w:rPr>
      </w:pPr>
      <w:proofErr w:type="gramStart"/>
      <w:r w:rsidRPr="00E02920">
        <w:rPr>
          <w:rFonts w:ascii="Bookman Old Style" w:hAnsi="Bookman Old Style" w:cs="Times New Roman"/>
          <w:sz w:val="24"/>
          <w:szCs w:val="24"/>
        </w:rPr>
        <w:t>В соответствии</w:t>
      </w:r>
      <w:r>
        <w:rPr>
          <w:rFonts w:ascii="Bookman Old Style" w:hAnsi="Bookman Old Style" w:cs="Times New Roman"/>
          <w:sz w:val="24"/>
          <w:szCs w:val="24"/>
        </w:rPr>
        <w:t xml:space="preserve"> с постановлением Правительства Республики Северная Осетия-Алания от 16 апреля 2019 года №135 «О внесении изменения в пост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>новление</w:t>
      </w:r>
      <w:r w:rsidRPr="00F20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Правительства Республики Северная Осетия-Алания от 14 февраля 2017 года №52 «О перечне программных мероприятий, направленных на с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>циально-экономическое развитие Моздокского района</w:t>
      </w:r>
      <w:r w:rsidRPr="00F20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Республики Северная Осетия-Алания, на 2017-2019 годы»</w:t>
      </w:r>
      <w:r w:rsidR="00EC4333">
        <w:rPr>
          <w:rFonts w:ascii="Bookman Old Style" w:hAnsi="Bookman Old Style" w:cs="Times New Roman"/>
          <w:sz w:val="24"/>
          <w:szCs w:val="24"/>
        </w:rPr>
        <w:t>, Собрание представителей Моздокского района Республики  Северная Осетия-Алания решило</w:t>
      </w:r>
      <w:r w:rsidRPr="00E02920">
        <w:rPr>
          <w:rFonts w:ascii="Bookman Old Style" w:eastAsia="Times New Roman" w:hAnsi="Bookman Old Style" w:cs="Calibri"/>
          <w:sz w:val="24"/>
          <w:szCs w:val="24"/>
        </w:rPr>
        <w:t>:</w:t>
      </w:r>
      <w:proofErr w:type="gramEnd"/>
    </w:p>
    <w:p w:rsidR="005A7B9D" w:rsidRPr="001F48FD" w:rsidRDefault="005A7B9D" w:rsidP="005A7B9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F48FD">
        <w:rPr>
          <w:rFonts w:ascii="Bookman Old Style" w:hAnsi="Bookman Old Style" w:cs="Times New Roman"/>
          <w:sz w:val="24"/>
          <w:szCs w:val="24"/>
        </w:rPr>
        <w:t xml:space="preserve">1. </w:t>
      </w:r>
      <w:proofErr w:type="gramStart"/>
      <w:r w:rsidRPr="001F48FD">
        <w:rPr>
          <w:rFonts w:ascii="Bookman Old Style" w:hAnsi="Bookman Old Style" w:cs="Times New Roman"/>
          <w:sz w:val="24"/>
          <w:szCs w:val="24"/>
        </w:rPr>
        <w:t>Внести в изменения в программу «Социально-экономического разв</w:t>
      </w:r>
      <w:r w:rsidRPr="001F48FD">
        <w:rPr>
          <w:rFonts w:ascii="Bookman Old Style" w:hAnsi="Bookman Old Style" w:cs="Times New Roman"/>
          <w:sz w:val="24"/>
          <w:szCs w:val="24"/>
        </w:rPr>
        <w:t>и</w:t>
      </w:r>
      <w:r w:rsidRPr="001F48FD">
        <w:rPr>
          <w:rFonts w:ascii="Bookman Old Style" w:hAnsi="Bookman Old Style" w:cs="Times New Roman"/>
          <w:sz w:val="24"/>
          <w:szCs w:val="24"/>
        </w:rPr>
        <w:t>тия Моздокского района Республики Северная Осетия-Алания на 2017-2019 годы»</w:t>
      </w:r>
      <w:r w:rsidR="00852BAC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утвержденную</w:t>
      </w:r>
      <w:r w:rsidRPr="001F48FD">
        <w:rPr>
          <w:rFonts w:ascii="Bookman Old Style" w:hAnsi="Bookman Old Style"/>
          <w:sz w:val="24"/>
          <w:szCs w:val="24"/>
        </w:rPr>
        <w:t xml:space="preserve"> </w:t>
      </w:r>
      <w:r w:rsidRPr="00603CC4">
        <w:rPr>
          <w:rFonts w:ascii="Bookman Old Style" w:hAnsi="Bookman Old Style"/>
          <w:sz w:val="24"/>
          <w:szCs w:val="24"/>
        </w:rPr>
        <w:t>решение</w:t>
      </w:r>
      <w:r>
        <w:rPr>
          <w:rFonts w:ascii="Bookman Old Style" w:hAnsi="Bookman Old Style"/>
          <w:sz w:val="24"/>
          <w:szCs w:val="24"/>
        </w:rPr>
        <w:t>м</w:t>
      </w:r>
      <w:r w:rsidRPr="00603CC4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</w:t>
      </w:r>
      <w:r w:rsidRPr="00603CC4">
        <w:rPr>
          <w:rFonts w:ascii="Bookman Old Style" w:hAnsi="Bookman Old Style"/>
          <w:sz w:val="24"/>
          <w:szCs w:val="24"/>
        </w:rPr>
        <w:t>й</w:t>
      </w:r>
      <w:r w:rsidRPr="00603CC4">
        <w:rPr>
          <w:rFonts w:ascii="Bookman Old Style" w:hAnsi="Bookman Old Style"/>
          <w:sz w:val="24"/>
          <w:szCs w:val="24"/>
        </w:rPr>
        <w:t>она Республики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3CC4">
        <w:rPr>
          <w:rFonts w:ascii="Bookman Old Style" w:hAnsi="Bookman Old Style"/>
          <w:sz w:val="24"/>
          <w:szCs w:val="24"/>
        </w:rPr>
        <w:t>Северная Осетия-Алания от 18 апреля 2017 года</w:t>
      </w:r>
      <w:r>
        <w:rPr>
          <w:rFonts w:ascii="Bookman Old Style" w:hAnsi="Bookman Old Style"/>
          <w:sz w:val="24"/>
          <w:szCs w:val="24"/>
        </w:rPr>
        <w:t xml:space="preserve"> №440 </w:t>
      </w:r>
      <w:r w:rsidRPr="00603CC4">
        <w:rPr>
          <w:rFonts w:ascii="Bookman Old Style" w:hAnsi="Bookman Old Style"/>
          <w:sz w:val="24"/>
          <w:szCs w:val="24"/>
        </w:rPr>
        <w:t xml:space="preserve">«Об утверждении </w:t>
      </w:r>
      <w:r w:rsidRPr="00603CC4">
        <w:rPr>
          <w:rFonts w:ascii="Bookman Old Style" w:hAnsi="Bookman Old Style" w:cs="Times New Roman"/>
          <w:sz w:val="24"/>
          <w:szCs w:val="24"/>
        </w:rPr>
        <w:t>программы социально-экономического Развития Моздокского района Республики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03CC4">
        <w:rPr>
          <w:rFonts w:ascii="Bookman Old Style" w:hAnsi="Bookman Old Style" w:cs="Times New Roman"/>
          <w:sz w:val="24"/>
          <w:szCs w:val="24"/>
        </w:rPr>
        <w:t>Северная Осетия-Алания на 2017-2019 годы»</w:t>
      </w:r>
      <w:r>
        <w:rPr>
          <w:rFonts w:ascii="Bookman Old Style" w:hAnsi="Bookman Old Style" w:cs="Times New Roman"/>
          <w:sz w:val="24"/>
          <w:szCs w:val="24"/>
        </w:rPr>
        <w:t xml:space="preserve"> (в редакции</w:t>
      </w:r>
      <w:r w:rsidRPr="005A7B9D">
        <w:rPr>
          <w:rFonts w:ascii="Bookman Old Style" w:hAnsi="Bookman Old Style"/>
          <w:sz w:val="24"/>
          <w:szCs w:val="24"/>
        </w:rPr>
        <w:t xml:space="preserve"> </w:t>
      </w:r>
      <w:r w:rsidRPr="00603CC4">
        <w:rPr>
          <w:rFonts w:ascii="Bookman Old Style" w:hAnsi="Bookman Old Style"/>
          <w:sz w:val="24"/>
          <w:szCs w:val="24"/>
        </w:rPr>
        <w:t>решени</w:t>
      </w:r>
      <w:r>
        <w:rPr>
          <w:rFonts w:ascii="Bookman Old Style" w:hAnsi="Bookman Old Style"/>
          <w:sz w:val="24"/>
          <w:szCs w:val="24"/>
        </w:rPr>
        <w:t>я</w:t>
      </w:r>
      <w:r w:rsidRPr="00603CC4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района Республики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3CC4">
        <w:rPr>
          <w:rFonts w:ascii="Bookman Old Style" w:hAnsi="Bookman Old Style"/>
          <w:sz w:val="24"/>
          <w:szCs w:val="24"/>
        </w:rPr>
        <w:t>Севе</w:t>
      </w:r>
      <w:r w:rsidRPr="00603CC4">
        <w:rPr>
          <w:rFonts w:ascii="Bookman Old Style" w:hAnsi="Bookman Old Style"/>
          <w:sz w:val="24"/>
          <w:szCs w:val="24"/>
        </w:rPr>
        <w:t>р</w:t>
      </w:r>
      <w:r w:rsidRPr="00603CC4">
        <w:rPr>
          <w:rFonts w:ascii="Bookman Old Style" w:hAnsi="Bookman Old Style"/>
          <w:sz w:val="24"/>
          <w:szCs w:val="24"/>
        </w:rPr>
        <w:t>ная Осетия-Алания от 1</w:t>
      </w:r>
      <w:r>
        <w:rPr>
          <w:rFonts w:ascii="Bookman Old Style" w:hAnsi="Bookman Old Style"/>
          <w:sz w:val="24"/>
          <w:szCs w:val="24"/>
        </w:rPr>
        <w:t>5</w:t>
      </w:r>
      <w:r w:rsidRPr="00603C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октября</w:t>
      </w:r>
      <w:r w:rsidRPr="00603CC4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8</w:t>
      </w:r>
      <w:r w:rsidRPr="00603CC4">
        <w:rPr>
          <w:rFonts w:ascii="Bookman Old Style" w:hAnsi="Bookman Old Style"/>
          <w:sz w:val="24"/>
          <w:szCs w:val="24"/>
        </w:rPr>
        <w:t xml:space="preserve"> года</w:t>
      </w:r>
      <w:r>
        <w:rPr>
          <w:rFonts w:ascii="Bookman Old Style" w:hAnsi="Bookman Old Style"/>
          <w:sz w:val="24"/>
          <w:szCs w:val="24"/>
        </w:rPr>
        <w:t xml:space="preserve"> №103</w:t>
      </w:r>
      <w:r w:rsidR="00852BAC">
        <w:rPr>
          <w:rFonts w:ascii="Bookman Old Style" w:hAnsi="Bookman Old Style" w:cs="Times New Roman"/>
          <w:sz w:val="24"/>
          <w:szCs w:val="24"/>
        </w:rPr>
        <w:t>),  изложив</w:t>
      </w:r>
      <w:proofErr w:type="gramEnd"/>
      <w:r w:rsidR="00852BAC">
        <w:rPr>
          <w:rFonts w:ascii="Bookman Old Style" w:hAnsi="Bookman Old Style" w:cs="Times New Roman"/>
          <w:sz w:val="24"/>
          <w:szCs w:val="24"/>
        </w:rPr>
        <w:t xml:space="preserve"> ее в новой р</w:t>
      </w:r>
      <w:r w:rsidR="00852BAC">
        <w:rPr>
          <w:rFonts w:ascii="Bookman Old Style" w:hAnsi="Bookman Old Style" w:cs="Times New Roman"/>
          <w:sz w:val="24"/>
          <w:szCs w:val="24"/>
        </w:rPr>
        <w:t>е</w:t>
      </w:r>
      <w:r w:rsidR="00852BAC">
        <w:rPr>
          <w:rFonts w:ascii="Bookman Old Style" w:hAnsi="Bookman Old Style" w:cs="Times New Roman"/>
          <w:sz w:val="24"/>
          <w:szCs w:val="24"/>
        </w:rPr>
        <w:t>дакции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8579F">
        <w:rPr>
          <w:rFonts w:ascii="Bookman Old Style" w:hAnsi="Bookman Old Style" w:cs="Times New Roman"/>
          <w:sz w:val="24"/>
          <w:szCs w:val="24"/>
        </w:rPr>
        <w:t>согласно приложению к настоящему решению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603CC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A7B9D" w:rsidRPr="006716CD" w:rsidRDefault="005A7B9D" w:rsidP="005A7B9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716CD">
        <w:rPr>
          <w:rFonts w:ascii="Bookman Old Style" w:eastAsia="Times New Roman" w:hAnsi="Bookman Old Style" w:cs="Times New Roman"/>
          <w:sz w:val="24"/>
          <w:szCs w:val="24"/>
        </w:rPr>
        <w:t xml:space="preserve">2. Опубликовать настоящее решение в </w:t>
      </w:r>
      <w:r w:rsidRPr="006716CD">
        <w:rPr>
          <w:rFonts w:ascii="Bookman Old Style" w:hAnsi="Bookman Old Style"/>
          <w:sz w:val="24"/>
          <w:szCs w:val="24"/>
        </w:rPr>
        <w:t>средствах массовой информации.</w:t>
      </w:r>
    </w:p>
    <w:p w:rsidR="005A7B9D" w:rsidRPr="00603CC4" w:rsidRDefault="005A7B9D" w:rsidP="005A7B9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C3AC4">
        <w:rPr>
          <w:rFonts w:ascii="Bookman Old Style" w:hAnsi="Bookman Old Style" w:cs="Times New Roman"/>
          <w:sz w:val="24"/>
          <w:szCs w:val="24"/>
        </w:rPr>
        <w:t>3.</w:t>
      </w:r>
      <w:r w:rsidRPr="00603CC4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proofErr w:type="gramStart"/>
      <w:r w:rsidRPr="000C3AC4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0C3AC4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</w:t>
      </w:r>
      <w:r w:rsidRPr="000C3AC4">
        <w:rPr>
          <w:rFonts w:ascii="Bookman Old Style" w:hAnsi="Bookman Old Style"/>
          <w:sz w:val="24"/>
          <w:szCs w:val="24"/>
        </w:rPr>
        <w:t>т</w:t>
      </w:r>
      <w:r w:rsidRPr="000C3AC4">
        <w:rPr>
          <w:rFonts w:ascii="Bookman Old Style" w:hAnsi="Bookman Old Style"/>
          <w:sz w:val="24"/>
          <w:szCs w:val="24"/>
        </w:rPr>
        <w:t>скую комиссию</w:t>
      </w:r>
      <w:r w:rsidRPr="00603CC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475C12">
        <w:rPr>
          <w:rFonts w:ascii="Bookman Old Style" w:hAnsi="Bookman Old Style"/>
          <w:sz w:val="24"/>
          <w:szCs w:val="24"/>
        </w:rPr>
        <w:t>по бюджету и экономической политике (Л.П. Токарева).</w:t>
      </w:r>
    </w:p>
    <w:p w:rsidR="005A7B9D" w:rsidRPr="00475C12" w:rsidRDefault="005A7B9D" w:rsidP="005A7B9D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6F63FB" w:rsidRDefault="005A7B9D" w:rsidP="005A7B9D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6F63FB" w:rsidRDefault="005A7B9D" w:rsidP="005A7B9D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6F63FB" w:rsidRDefault="005A7B9D" w:rsidP="008D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A7B9D" w:rsidRPr="00E02920" w:rsidRDefault="005A7B9D" w:rsidP="005A7B9D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F52BA2" w:rsidRDefault="005A7B9D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02920">
        <w:rPr>
          <w:rFonts w:ascii="Bookman Old Style" w:eastAsia="Times New Roman" w:hAnsi="Bookman Old Style" w:cs="Times New Roman"/>
          <w:sz w:val="24"/>
          <w:szCs w:val="24"/>
        </w:rPr>
        <w:t xml:space="preserve">Глава муниципального </w:t>
      </w:r>
      <w:r>
        <w:rPr>
          <w:rFonts w:ascii="Bookman Old Style" w:eastAsia="Times New Roman" w:hAnsi="Bookman Old Style" w:cs="Times New Roman"/>
          <w:sz w:val="24"/>
          <w:szCs w:val="24"/>
        </w:rPr>
        <w:t>образования</w:t>
      </w:r>
      <w:r w:rsidR="00F52BA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02920">
        <w:rPr>
          <w:rFonts w:ascii="Bookman Old Style" w:eastAsia="Times New Roman" w:hAnsi="Bookman Old Style" w:cs="Times New Roman"/>
          <w:sz w:val="24"/>
          <w:szCs w:val="24"/>
        </w:rPr>
        <w:t>–</w:t>
      </w:r>
    </w:p>
    <w:p w:rsidR="005A7B9D" w:rsidRDefault="005A7B9D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r w:rsidR="00F52BA2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eastAsia="Times New Roman" w:hAnsi="Bookman Old Style" w:cs="Times New Roman"/>
          <w:sz w:val="24"/>
          <w:szCs w:val="24"/>
        </w:rPr>
        <w:t>Г.</w:t>
      </w:r>
      <w:r w:rsidR="00F52BA2">
        <w:rPr>
          <w:rFonts w:ascii="Bookman Old Style" w:eastAsia="Times New Roman" w:hAnsi="Bookman Old Style" w:cs="Times New Roman"/>
          <w:sz w:val="24"/>
          <w:szCs w:val="24"/>
        </w:rPr>
        <w:t>А.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Гугиев</w:t>
      </w:r>
      <w:proofErr w:type="spellEnd"/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>УТВЕРЖДЕНА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>решением Собрания представителей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 xml:space="preserve"> Моздокского района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 xml:space="preserve">№ 160 от 29.05.2019 г. </w:t>
      </w:r>
    </w:p>
    <w:p w:rsidR="007210A7" w:rsidRPr="007210A7" w:rsidRDefault="007210A7" w:rsidP="007210A7">
      <w:pPr>
        <w:spacing w:after="0" w:line="240" w:lineRule="auto"/>
        <w:ind w:left="4111" w:firstLine="709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4253" w:firstLine="1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ind w:left="4253" w:firstLine="1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>ПРОГРАММА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 xml:space="preserve">СОЦИАЛЬНО-ЭКОНОМИЧЕСКОГО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 xml:space="preserve">РАЗВИТИЯ МОЗДОКСКОГО РАЙОНА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>РЕСПУБЛИКИ СЕВЕРНАЯ ОСЕТИЯ-АЛАНИЯ НА 2017-2019 ГОДЫ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г. Моздок, 2019 г.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ПАСПОРТ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555"/>
      </w:tblGrid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0" w:name="sub_10101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Ответственный исполнитель Пр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граммы</w:t>
            </w:r>
            <w:bookmarkEnd w:id="0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Администрация местного самоуправления Моздокского района</w:t>
            </w:r>
          </w:p>
        </w:tc>
      </w:tr>
      <w:tr w:rsidR="007210A7" w:rsidRPr="007210A7" w:rsidTr="007210A7">
        <w:trPr>
          <w:trHeight w:val="566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  <w:t>Участники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Bookman Old Style" w:hAnsi="Arial" w:cs="Arial"/>
                <w:b/>
                <w:bCs/>
                <w:color w:val="26282F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</w:pP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Министерство жилищно-коммунального хозяйства, топл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ва и энергетики Республики Северная Осетия-Алания, М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нистерство здравоохранения Республики Северная Осетия-Алания, Министерство сельского хозяйства и продовол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ствия Республики Северная Осетия-Алания, Министерство промышленности и  транспорта Республики Северная Ос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тия-Алания, Министерство образования и науки Республ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ки Северная Осетия-Алания, Министерство физической культуры и спорта Республики Северная Осетия-Алания, Министерство культуры Республики Северная Осетия-Алания, Министерство строительства и архитектуры Ре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публики Северная Осетия-Алания, Министерство эконом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ческого развития Республики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Северная Осетия-Алания, Комитет дорожного хозяйства Республики Северная Ос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тия-Алания, Комитет Республики Северная Осетия-Алания по делам молодежи, Комитет Республики Северная Осетия-Алания по занятости населения, Глава </w:t>
            </w:r>
            <w:r w:rsidRPr="007210A7"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  <w:t xml:space="preserve">КФХ </w:t>
            </w:r>
            <w:proofErr w:type="spellStart"/>
            <w:r w:rsidRPr="007210A7"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  <w:t>Тетцоев</w:t>
            </w:r>
            <w:proofErr w:type="spellEnd"/>
            <w:r w:rsidRPr="007210A7"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  <w:t xml:space="preserve"> Г.З., </w:t>
            </w:r>
            <w:r w:rsidRPr="007210A7">
              <w:rPr>
                <w:rFonts w:ascii="Bookman Old Style" w:eastAsia="Times New Roman" w:hAnsi="Bookman Old Style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государственное казенное учреждение «Центр занятости населения» (ГКУ ЦЗН) по Моздокскому району;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en-US"/>
              </w:rPr>
              <w:t>ГБУЗ «Мо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en-US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en-US"/>
              </w:rPr>
              <w:t>докская Центральная районная больница» МЗ РСО-Алания.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1" w:name="sub_10104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Цели Программы</w:t>
            </w:r>
            <w:bookmarkEnd w:id="1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Стабилизация социально-экономического положения Мо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докского района Республики Северная Осетия-Алания, обеспечивающая в перспективе базис для устойчивого экономического роста и, как следствие, повышение уровня жизни населения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2" w:name="sub_10105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Задачи Програ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мы</w:t>
            </w:r>
            <w:bookmarkEnd w:id="2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Поддержка агропромышленного комплекса;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транспортной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социальной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жилищно-коммунального хозяйства, инженерной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3" w:name="sub_101051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Целевые индик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а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торы и показат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е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ли Программы</w:t>
            </w:r>
            <w:bookmarkEnd w:id="3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Обеспеченность больничными койками на 10 тыс. человек (коек);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обеспеченности учреждениями культурно-досугового типа (учреждений на 100 тыс. населения);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обеспеченности населения объектами физической культуры и спорта;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удельный вес населения, систематически занимающегося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физической культурой и спортом;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доля обучающихся, занимающихся в первую смену, в 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б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щей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обучающихся общеобразовательных 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ганизациях;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охват детей в возрасте 2 лет и старше дошкольным обр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зованием;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зарегистрированной безработицы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lastRenderedPageBreak/>
              <w:t>Этапы и сроки реализации пр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2017-2019 годы (один этап)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4" w:name="sub_10108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Объем и исто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ч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ники финансир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вания Програ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мы</w:t>
            </w:r>
            <w:bookmarkEnd w:id="4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Финансирование Программы осуществляется за счет средств федерального бюджета Российской Федерации, республиканского бюджета Республики Северная Осетия-Алания, бюджета муниципального образования Моздо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ский район и внебюджетных средств.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Общий объем финансирования Программы составляет 2951,1 млн. рублей, из них: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федерального бюджета -1979,0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125,4 млн. 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779,0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2019 год – 1074,6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республиканского бюджета – 683,9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186,4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139,1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 - 358,4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бюджета муниципального образования Моздо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ский район – 155,3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55,4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65,3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– 34,6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внебюджетные средства – 132,9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11,5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111,9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 - 9,5 млн. рублей.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5" w:name="sub_10109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Ожидаемые р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е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зультаты реал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и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зации Програ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</w:t>
            </w: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мы</w:t>
            </w:r>
            <w:bookmarkEnd w:id="5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Реализация Программы: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позволит улучшить социально-экономическое положение муниципального образования Моздокский район;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приведет: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к росту доли обеспеченности учреждениями культурно-досугового типа (учреждений на 100 тыс. населения) с 24,2% в 2015 году до 26,5%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росту доли обеспеченности больничными койками на 10 тыс. человек (коек) с 59,40 в 2015 году до 59,55% в 2019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повышению уровня обеспеченности населения объектами физической культуры и спорта с 51,7 % в 2015 году до 53,6%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росту удельного веса населения, систематически заним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ющегося физической культурой и спортом с 29,9% в 2015 году до 34,7%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росту доли обучающихся, занимающихся в первую смену, в общей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обучающихся общеобразовательных организациях с 87,1% в 2015 году до 92,5% в 2019 году; 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увеличению охвата детей в возрасте 2 лет и старше 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школьным образованием (процентов) с 52,4% в 2015 году до 67,7% в 2019 году; 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снижению уровня зарегистрированной безработицы (пр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центов) с 2,5 в 2015 году до 2,3% в 2019 году.</w:t>
            </w:r>
          </w:p>
        </w:tc>
      </w:tr>
    </w:tbl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lastRenderedPageBreak/>
        <w:t>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. Общая характеристика сферы реализации Программы,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описание основных проблем и система мероприятий,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направленных</w:t>
      </w:r>
      <w:proofErr w:type="gramEnd"/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 на их решение</w:t>
      </w:r>
    </w:p>
    <w:p w:rsidR="007210A7" w:rsidRPr="007210A7" w:rsidRDefault="007210A7" w:rsidP="007210A7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При определении стратегических приоритетов развития страны в целом и отдельных территорий приходит понимание необходимости ориентироват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ся на потребности человека, его интересы и мнения. В связи с этим возраст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ет роль органов местного самоуправления в процессе социально-экономического развития территории. Требуется их активное участие в управлении этим процессом в качестве равноправных партнеров с органами государственной власти.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Социально-экономическое развитие муниципального образования явл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ется управляемым процессом качественного изменения социальной и экон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мической сфер, не ухудшающим состояние окружающей среды и привод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щим к улучшению условий жизни населения.</w:t>
      </w:r>
      <w:proofErr w:type="gramEnd"/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Моздокский район состоит из 1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городского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и 17 сельских поселений и граничит со Ставропольским краем, Кабардино-Балкарской Республикой, Ч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ченской Республикой и Республикой Ингушетия. 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Общая численность населения Моздокского района - 86 892 человека и он занимает второе место по численности населения среди районов Респу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лики. Плотность населения – 80 чел/км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2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Площадь территории муниципального образования составляет 107 112 га, то есть 1/8 часть площади Республики Северная Осетия-Алания.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Площадь земель: земли сельскохозяйственного назначения – 85 999 га; земли населенных пунктов – 5 247 га; земли промышленности, энергетики, транспорта, связи  и иного социального назначения  – 3 101 га; земли лесного фонда – 9 772 га; земли водного фонда – 1 876 га; земли запаса – 1 117 га.</w:t>
      </w:r>
      <w:proofErr w:type="gramEnd"/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Район располагает развитой инфраструктурой, дорожно-транспортной сетью, современной системой связи, наличием энергетических систем.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1. Развитие агропромышленного комплекса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b/>
          <w:sz w:val="24"/>
          <w:szCs w:val="24"/>
          <w:lang w:eastAsia="en-US"/>
        </w:rPr>
        <w:t>В сельском хозяйстве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 xml:space="preserve"> района занято 205</w:t>
      </w:r>
      <w:r w:rsidRPr="007210A7">
        <w:rPr>
          <w:rFonts w:ascii="Bookman Old Style" w:eastAsia="Bookman Old Style" w:hAnsi="Bookman Old Style" w:cs="Times New Roman"/>
          <w:b/>
          <w:sz w:val="24"/>
          <w:szCs w:val="24"/>
          <w:lang w:eastAsia="en-US"/>
        </w:rPr>
        <w:t xml:space="preserve"> 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производителей сельхозпр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о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дукции различных форм собственности.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Сельскохозяйственные земли района состоят из 66 413 га пашни, 1 853 га сенокосов, 10 740 га пастбищ, 388 га залежей и 530 га многолетних насаждений (сады).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Основу аграрного сектора составляет растениеводство. В районе возд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е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лывается более 20 сельскохозяйственных культур. Выращивание зерновых и зернобобовых является приоритетным направлением в сельском хозяйстве района.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Важнейшей составной частью продовольственного комплекса является зерновая отрасль, определяющая основу экономической безопасности.</w:t>
      </w:r>
    </w:p>
    <w:p w:rsidR="007210A7" w:rsidRPr="007210A7" w:rsidRDefault="007210A7" w:rsidP="007210A7">
      <w:pPr>
        <w:widowControl w:val="0"/>
        <w:spacing w:after="0" w:line="240" w:lineRule="auto"/>
        <w:ind w:right="20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Животноводством в районе заняты в основном личные подсобные хозя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й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ства, реализующие мясо, молоко на рынке. Только за 2015 год поголовье крупного рогатого скота в сравнении с поголовьем в 2014 году сократилось на 38%, или на 411 голов. Соответственно, упали объемы производства пр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о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дукции мяса и молока.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Положительная динамика роста наблюдается лишь в птицеводстве: об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ъ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емы производства мяса птицы в 2015 году увеличились на 19% (28 тонн), яиц – на 43% (3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млн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штук).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сегодняшний день в сельском хозяйстве существует ряд проблем, сдерживающих дальнейшее развитие отрасли: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еобходимость восстановления, реконструкции и модернизации внутр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хозяйственной оросительной сети;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восстановление и развитие промышленной отрасли по переработке сел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скохозяйственной продукции;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технико-технологическое отставание сельского хозяйства района из-за недостаточного уровня доходов сельскохозяйственных товаропроизводителей для осуществления модернизации;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нополизации торговых сетей.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Для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восстановления, реконструкции и модернизации внутрихозяйстве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ной оросительной сети необходим капитальный ремонт существующих и строительство новых оросительно-мелиоративных объектов, приобретение поливальной техники.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результате решения указанной проблемы наличие действующей совр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менной мелиоративной системы района наряду с благоприятными агрокл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матическими условиями позволит в перспективе выращивать в промышле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ных объемах масличные культуры, овощи, а также восстановить садоводство и виноградарство. Значительно повысится урожайность и зерновых культур, выращиваемых в районе.</w:t>
      </w:r>
    </w:p>
    <w:p w:rsidR="007210A7" w:rsidRPr="007210A7" w:rsidRDefault="007210A7" w:rsidP="007210A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целях расширения ассортимента и повышения конкурентоспособности производимой продукции за счет собственных средств </w:t>
      </w:r>
      <w:r w:rsidRPr="007210A7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ведется реконстру</w:t>
      </w:r>
      <w:r w:rsidRPr="007210A7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ция на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предприятии «Мясной двор Богачёва».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2018 году в районе планируется провести мероприятия по восстано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лению оросительной сети на площади 640 га.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нополизации торговых сетей</w:t>
      </w:r>
      <w:r w:rsidRPr="007210A7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обусловлен тем, что для вхождения в федерал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ь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ную 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ритейлерскую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торговую сеть («Магнит», «Метро», «Ашан», «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Дикси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>») п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ставщик должен соответствовать ряду важнейших требований: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обеспечение больших объемов поставок продукции;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продукция должна быть очень высокого качества с определенным т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варным видом.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При этом за несоблюдение графика поставок производитель платит в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ы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сокие штрафы.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Кроме того, помимо разовой платы за вхождение в сеть могут быть и п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е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риодические платежи при открытии новых магазинов торговой сети за право поставки товаров в эти магазины.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Учитывая, что возможности 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сельхозтоваропроизводителей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района по объему производства и доведению до определенного товарного вида произв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димой продукции весьма ограничены, более целесообразным являются сл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е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дующие меры: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популяризация регулярного проведения ярмарок по продаже сельхозпр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дукции в районных центрах республики, в том числе в 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г</w:t>
      </w:r>
      <w:proofErr w:type="gramStart"/>
      <w:r w:rsidRPr="007210A7">
        <w:rPr>
          <w:rFonts w:ascii="Bookman Old Style" w:eastAsia="Calibri" w:hAnsi="Bookman Old Style" w:cs="Times New Roman"/>
          <w:sz w:val="24"/>
          <w:szCs w:val="24"/>
        </w:rPr>
        <w:t>.М</w:t>
      </w:r>
      <w:proofErr w:type="gramEnd"/>
      <w:r w:rsidRPr="007210A7">
        <w:rPr>
          <w:rFonts w:ascii="Bookman Old Style" w:eastAsia="Calibri" w:hAnsi="Bookman Old Style" w:cs="Times New Roman"/>
          <w:sz w:val="24"/>
          <w:szCs w:val="24"/>
        </w:rPr>
        <w:t>оздок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>, с участием производителей республики;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объединение предприятий района, производящих наиболее качестве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н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ную продукцию, и заключение соглашения с 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ритейлерами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республиканского уровня («Забава», «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Стейтон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») о продвижении их продукции на рынок.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территории Моздокского района действуют рынок «Торговый Двор» Моздокского районного потребительского общества, универсальный розни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ч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ный рынок МУП «Торговый ряд», а также универсальные ярмарк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и ООО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«Ко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хоз Виноградное» и МУП «Торговый ряд», на которых предоставляются места местным производителям и производителям из соседних республик. На ук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занных объектах торговли создано 458 торговых мест.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2. Поддержка малого и среднего предпринимательства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целях развития малого и среднего предпринимательства в Моздокском районе за счет средств республиканского и местного бюджетов предполагае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ся оказание государственной поддержки субъектам малого и среднего пре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принимательства.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Планируется поддержка приоритетных инвестиционных проектов рай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на, в том числе оказание финансовой, информационной, консультационной и иной помощи.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 Развитие социальной сферы и молодежной политики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3.1. Развитие здравоохранения и социального обеспечения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bdr w:val="none" w:sz="0" w:space="0" w:color="auto" w:frame="1"/>
        </w:rPr>
        <w:t>Сеть лечебно-профилактических учреждений</w:t>
      </w:r>
      <w:r w:rsidRPr="007210A7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 xml:space="preserve"> Моздокского района представлена ГБУЗ «Моздокская Центральная районная больница» МЗ РСО-Алания, структурными подразделениями которой являются: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Притеречная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участковая больница, поликлиническое отделение для взрослых, поликлин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ческое отделение для детей, стоматологическая поликлиника, шесть амбул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торий и 20 фельдшерско-акушерских пунктов.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Высокий уровень показателей общей и младенческой смертности, заб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леваемости социально значимыми болезнями, инвалидности от основных 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болеваний в районе определяет необходимость получения высококачестве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ной и своевременной медицинской помощи.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здравоохранении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проблему отсутствия в районе достаточного колич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ства объектов здравоохранения, позволяющих охватить население района качественными амбулаторно-поликлиническими и стационарными медици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скими услугами, в какой-то степени можно решить путем реконструкции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Притеречной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участковой больницы с общим объемом финансирования 16,3 млн. рублей за счет средств республиканского бюджета, завершения стро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тельства поликлиники на 850 посещений в смену литеров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и Г с объемом строительства 110,1 млн. рублей, строительства фельдшерско-акушерского пункта в с.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Октябрьское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с объемом финансирования 7,0 млн. рублей.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Сфера социального обеспечения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представлена детским домом для 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тей-сирот и детей, оставшихся без попечения родителей, расположенным в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г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.М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>оздок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социальном обеспечении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 жизненно важно начать реконструкцию детского дома, на </w:t>
      </w:r>
      <w:r w:rsidRPr="007210A7">
        <w:rPr>
          <w:rFonts w:ascii="Bookman Old Style" w:eastAsia="Times New Roman" w:hAnsi="Bookman Old Style" w:cs="Times New Roman"/>
          <w:sz w:val="24"/>
          <w:szCs w:val="24"/>
          <w:lang w:val="en-US"/>
        </w:rPr>
        <w:t>I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этап которой предполагается направить 9,0 млн. рублей за счет средств республиканского бюджета.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3.2. Развитие общего, дошкольного и профессионального образов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а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ния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Сеть образовательных учреждений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Моздокского района представлена  29 школами, 4 учреждениями дополнительного образования, 35 дошкольн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ы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ми образовательными учреждениями.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1 января 2016 годах в школах района обучается 10 758 учащихся, в дошкольных образовательных учреждениях – 3 574 ребенка, в учреждениях дополнительного образования – 3 403 учащихся. Необходимость соблюдения учреждениями образования требований Федеральных государственных обр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зовательных стандартов (наличие медицинских кабинетов, компьютерных классов, комнат отдыха и релаксации, наличие изостудии) привело к сниж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нию площадей, используемых в образовательном процессе. Требования, предъявляемые к современной школе, обуславливают необходимость стро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тельства новых школ.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Очередность по состоянию на 1 марта 2016 года в дошкольные учрежд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ния  района составляет 2 469 детей, из них в возрасте от 0 до 3 лет - 1 956 детей, от 3 до 7 лет - 513 детей.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образовании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вопрос нехватки мест в дошкольных и школьных обр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зовательных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учреждениях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возможно решить с помощью привлечения средств федерального и республиканского бюджетов через механизмы федеральных целевых программ (далее – ФЦП) и государственных программ.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Для решения данной проблемы в 2017-2019 годах планируется стро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тельство и реконструкция 7 детских садов и  средней общеобразовательной школы (на 500 мест), кроме этого проектирование 2 школ и 1 детского сада.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3.3. Развитие физической культуры и спорта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Моздокском районе имеется 44 спортивных зала, 75 плоскостных спортивных сооружений, из которых 38 футбольных полей, 3 детско-юношеские спортивные школы (ДЮСШ №1, ДЮСШ №2, ДЮСШ «Дзюдо»), Центр детского творчества, 2 фитнес – клуба, а также 10 подростковых кл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у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бов, имеющих военно-спортивное и спортивное направление.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Численность занимающихся спортом в районе составляет 25761 человек, в учреждениях дополнительного образования детей – 1606, в детских по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ростковых клубах – 565. Тренерами спортивных школ, руководителями де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ских подростковых клубов в 2015 году подготовлено 372 спортсмена масс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вых разрядов, из них 19 – кандидатов в мастера спорта и 31 - первого разр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районе в ближайшие годы планируется проведение более 120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спо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р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тивно-массовых и молодежных мероприятий,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из которых в более 40 м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лодежных и спортивных мероприятиях республиканского и межрегиональн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го  уровня примут участие спортсмены и молодежь Моздокского района.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Моздокском районе проводятся многочисленные спортивные соревн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вания и массовые мероприятия,  к которым за 2015 год было привлечено б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лее 42 тысяч детей, подростков и молодежи района и более 1 300 гостей.</w:t>
      </w:r>
      <w:r w:rsidRPr="007210A7">
        <w:rPr>
          <w:rFonts w:ascii="Bookman Old Style" w:eastAsia="Times New Roman" w:hAnsi="Bookman Old Style" w:cs="Times New Roman"/>
          <w:color w:val="4F6228" w:themeColor="accent3" w:themeShade="80"/>
          <w:sz w:val="24"/>
          <w:szCs w:val="24"/>
        </w:rPr>
        <w:t xml:space="preserve">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Это - первенства, региональные и междугородные турниры по различным видам спорта: по футболу,  шахматам, вольной борьбе,  волейболу, борьбе дзюдо и тхэквондо, ежегодный традиционный турнир «Кожаный мяч», спартакиада  допризывной молодежи.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Вместе с тем в районе существуют проблемные вопросы поддержки 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тивности молодежи, организации занятости подростков и молодежи (проф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риентация, досуг). В связи с нехваткой в районе достаточного количества культурно-досуговых, спортивных и молодежных организаций и учреждений для удовлетворения потребностей населения, в том числе молодежи, сущ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ствует реальная угроза усиления социальной напряженности,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оттока труд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способного населения, особенно молодежи, снижения уровня и качес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тва жи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 в районе.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lastRenderedPageBreak/>
        <w:t>С целью решения данной проблемы предполагается строительство спо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р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тивного комплекса открытого типа для подготовки и выполнения нормативов ГТО в </w:t>
      </w:r>
      <w:proofErr w:type="spellStart"/>
      <w:r w:rsidRPr="007210A7">
        <w:rPr>
          <w:rFonts w:ascii="Bookman Old Style" w:eastAsia="Calibri" w:hAnsi="Bookman Old Style" w:cs="Times New Roman"/>
          <w:sz w:val="24"/>
          <w:szCs w:val="24"/>
        </w:rPr>
        <w:t>г</w:t>
      </w:r>
      <w:proofErr w:type="gramStart"/>
      <w:r w:rsidRPr="007210A7">
        <w:rPr>
          <w:rFonts w:ascii="Bookman Old Style" w:eastAsia="Calibri" w:hAnsi="Bookman Old Style" w:cs="Times New Roman"/>
          <w:sz w:val="24"/>
          <w:szCs w:val="24"/>
        </w:rPr>
        <w:t>.М</w:t>
      </w:r>
      <w:proofErr w:type="gramEnd"/>
      <w:r w:rsidRPr="007210A7">
        <w:rPr>
          <w:rFonts w:ascii="Bookman Old Style" w:eastAsia="Calibri" w:hAnsi="Bookman Old Style" w:cs="Times New Roman"/>
          <w:sz w:val="24"/>
          <w:szCs w:val="24"/>
        </w:rPr>
        <w:t>оздок</w:t>
      </w:r>
      <w:proofErr w:type="spellEnd"/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с общим объемом финансирования 30,7 млн рублей, а также строительство  трех многофункциональных игровых площадок 800 м</w:t>
      </w:r>
      <w:r w:rsidRPr="007210A7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с де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т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ским спортивно-оздоровительным комплексом.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3.4. Развитие культуры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сфере культуры  Моздокского  района функционирует 53 учреждения культуры: 21 дом  культуры, в том числе 2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передвижных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клубных учрежд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ния; 23 библиотеки централизованной библиотечной системы, в том числе одна передвижная; 1 музей (филиал Национального музея Республики Севе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ная Осетия-Алания); 4 учреждения дополнительного образования в  сфере культуры. Также в районе  активно творчески работает 10 народных колле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тивов и 1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детский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образцовый. В культурно-досуговых учреждениях  Моздо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ского района функционируют 120 клубных формирований  с численностью занимающихся в них 1 877 человек. В учреждениях дополнительного образ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вания в сфере культуры успешно занимаются 900 человек.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Одной из основных проблем в сфере культуры является устаревшая м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териально-техническая база. В связи с этим необходимо приобретение новых музыкальных инструментов для школ искусств, обновление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звукоусилител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ной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и световой аппаратуры для ряда сельских домов культуры.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Большинство зданий учреждений культуры нуждаются в капитальном ремонте и реконструкции, а в ряде населенных пунктов необходимо стро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тельство новых типовых домов культуры.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В сфере культуры,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 случае участия в ФЦП и государственных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граммах за счет средств федерального и республиканского бюджетов, во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можна реализация  важнейших для района проектов, которые бы увеличили количество культурно-досуговых учреждений для удовлетворения культурных потребностей населения, прежде всего молодежи.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Для достижения указанной цели необходимо построить дом культуры на 300 мест в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с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.В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>иноградное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, кроме этого планируется изготовление смет для капитального ремонта сельских домов культуры для дальнейшего включения их в программу.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3.5. Занятость населения</w:t>
      </w:r>
    </w:p>
    <w:p w:rsidR="007210A7" w:rsidRPr="007210A7" w:rsidRDefault="007210A7" w:rsidP="007210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>Прогноз развития социальной и производственной сфер на период до 2021 года, рассчитанный по методике государственного казенного учрежд</w:t>
      </w: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>ния «Центр занятости населения» (ГКУ ЦЗН) по Моздокскому району, позв</w:t>
      </w: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 xml:space="preserve">ляет сделать следующие выводы.  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Приказом Министерства труда и социальной защиты Российской Фед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рации от 29 апреля  2016 г. № 200н Республика Северная Осетия-Алания 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несена к  территориям с напряженной ситуацией на рынке труда по итогам 2014-2015 годов. 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6" w:name="sub_102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 итогам 2016 года ситуация на  рынке труда также остается напр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женной как по всей республике, так и в Моздокском районе.  </w:t>
      </w:r>
    </w:p>
    <w:bookmarkEnd w:id="6"/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2016 году в ГКУ ЦЗН по Моздокскому району за содействием в поиске подходящей работы обратилось 2 494 чел., из них признано безработными 2 115 чел. (84,8%).</w:t>
      </w:r>
      <w:r w:rsidRPr="007210A7">
        <w:rPr>
          <w:rFonts w:ascii="Bookman Old Style" w:eastAsia="Times New Roman" w:hAnsi="Bookman Old Style" w:cs="Times New Roman"/>
          <w:color w:val="FF0000"/>
          <w:spacing w:val="2"/>
          <w:sz w:val="24"/>
          <w:szCs w:val="24"/>
        </w:rPr>
        <w:t xml:space="preserve">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 структуре безработных  граждан значительная часть 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носится к категории нуждающихся в дополнительных мерах социальной 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щиты на рынке труда. Основной контингент составляют: женщины – 71,3%, молодежь в возрасте 16-29 лет – 33%, инвалиды – 12,3%.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Численность безработных родителей, имеющих несовершеннолетних 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тей, составила 836 чел. (39,5%), из них многодетные родители – 207 чел.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Численность граждан, впервые ищущих работу, составила 476 чел. (22,5%), выпускников образовательных организаций – 157 чел. (7,4%), в том числе: выпускники вузов – 29 чел., выпускники организаций среднего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фессионального образования – 86 чел.</w:t>
      </w:r>
    </w:p>
    <w:p w:rsidR="007210A7" w:rsidRPr="007210A7" w:rsidRDefault="007210A7" w:rsidP="007210A7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Заявленная работодателями потребность в работниках </w:t>
      </w:r>
      <w:proofErr w:type="gramStart"/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на конец</w:t>
      </w:r>
      <w:proofErr w:type="gramEnd"/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2016 г</w:t>
      </w:r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да 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–  83 ед. Коэффициент напряженности на рынке труда – 11,6.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Размер средней заработной платы по представленным вакансиям составил 9 932 руб., тогда как  средняя заработная плата по республике за ноябрь 2016 года  составляла 21 683 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руб.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Недостаточное количество вакантных рабочих мест в районе, низкое их качество - размер средней заработной платы по предста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ленным вакансиям низок и немногим больше величины прожиточного мин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мума (9 179 руб.) - не позволяют оказывать государственные услуги  по с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действию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 трудоустройстве безработным гражданам  на должном уровне.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Наблюдается сокращение потребности предприятий в работниках, 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обостряется  проблема с нехваткой вакантных мест. Учитывая предстоящие сокращения, проблема на рынке труда  района будет усугубляться.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В 2017-2019 годах в сфере занятости в Моздокском районе предполаг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ется при участии федеральных средств провести комплекс мероприятий для безработных граждан, в том числе: выплата пособий по безработице, орган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зация временного трудоустройства, организация стажировки выпускников всех уровней образования, содействие </w:t>
      </w:r>
      <w:proofErr w:type="spellStart"/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самозанятости</w:t>
      </w:r>
      <w:proofErr w:type="spellEnd"/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безработных граждан, профессиональное обучение и дополнительное профессиональное образов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ние, проведение оплачиваемых общественных работ, </w:t>
      </w:r>
      <w:proofErr w:type="gramStart"/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п</w:t>
      </w:r>
      <w:proofErr w:type="gramEnd"/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fldChar w:fldCharType="begin"/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instrText xml:space="preserve"> HYPERLINK "consultantplus://offline/main?base=LAW;n=73974;fld=134;dst=100009" </w:instrTex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fldChar w:fldCharType="separate"/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сихологическая по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д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держка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fldChar w:fldCharType="end"/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безработных граждан и др. Общий объем финансирования указа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мероприятий в районе составит 51,5 млн. рублей, в том числе за счет средств федерального бюджета – 48,9 млн. рублей.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 Развитие инфраструктуры Моздокского района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4.1. Развитие жилищно-коммунального хозяйства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Коммунальная инфраструктура Моздокского района представлена: ули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ч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ной водопроводной сетью в одиночном протяжении - 394,4 км, из них 242,6 км нуждается в замене, то есть необходимо заменить более 60% существу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ю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щих водопроводных сетей; канализационными сетями - 116,3 км, из них нуждаются в замене 62,7 км; тепловыми сетями - 36,6 км, из них нуждаются в замене 29,9 км.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 поселениях назрела необходимость  реконструкции  в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донапорных  башен. Такое состояние водопроводной сети является предп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сылкой для вторичного загрязнения питьевой воды. Для контроля качества питьевой воды необходима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специализированная лаборатория.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Проблемы в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жилищно-коммунальном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хозяйстве</w:t>
      </w:r>
      <w:proofErr w:type="gramEnd"/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возможно решить только с помощью участия республики в соответствующих ФЦП и государственных программах, с включением объектов Моздокского района в указанные пр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граммы.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4.2. Развитие транспортной инфраструктуры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В целях развития транспортной инфраструктуры в Моздокский район из Дорожного фонда Республики Северная Осетия-Алания в 2017-2019 годах планируется направить 1006,6 млн. рублей.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lastRenderedPageBreak/>
        <w:t>4.3. Благоустройство дворовых территорий многоквартирных д</w:t>
      </w:r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о</w:t>
      </w:r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мов в </w:t>
      </w:r>
      <w:proofErr w:type="spellStart"/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г</w:t>
      </w:r>
      <w:proofErr w:type="gramStart"/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.М</w:t>
      </w:r>
      <w:proofErr w:type="gramEnd"/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оздок</w:t>
      </w:r>
      <w:proofErr w:type="spellEnd"/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Большинство дворовых территорий многоквартирных домов в г. Моздок нуждаются в благоустройстве.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Многие дворовые территории не благоустраивались со времени их сдачи в эксплуатацию, некоторые из которых являются еще довоенной постройки.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Виды работ по благоустройству включают в себя ремонт дворовых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ездов, освещение территорий, установку скамеек, урн, оборудование детских и (или) спортивных площадок, автомобильных парковок, озеленение террит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рий.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Проблему благоустройства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дворовых территорий многоквартирных д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мов в г.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Моздок</w:t>
      </w:r>
      <w:proofErr w:type="gramEnd"/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возможно решить за счет выделения из федерального бюдж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та субсидий на условиях </w:t>
      </w:r>
      <w:proofErr w:type="spellStart"/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софинансирования</w:t>
      </w:r>
      <w:proofErr w:type="spellEnd"/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путем участия республики в с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ответствующих государственных программах Российской Федерации.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В 2017-2019 году на указанные мероприятия по благоустройству пре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д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полагается выделение 34,9 млн. рублей.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Цель, основные задачи, сроки реализации Программы.</w:t>
      </w: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Основной целью Программы является стабилизация социально-экономического положения Моздокского района, обеспечивающая в перспе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тиве базис для устойчивого экономического роста и, как следствие, повыш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ние уровня жизни населения.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Основными задачами  Программы являются: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поддержка агропромышленного комплекса;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транспортной инфраструктуры;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социальной инфраструктуры;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жилищно-коммунального хозяйства, инженерной инфрастру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благоустройство дворовых территорий многоквартирных домов.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III. Целевые индикаторы и показатели эффективности Программы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Для достижения целей и поставленных задач Программы определены целевые индикаторы и показатели. Сведения о показателях и индикаторах Программы и их прогнозные значения отражены в приложении 1.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Поставленная цель диктует необходимость осуществить Программу в 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чение 2017 - 2019 годов одним этапом.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Механизм реализации Программы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Исполнителем Программы является Администрация местного сам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управления Моздокского района.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Участниками Программы являются: </w:t>
      </w:r>
      <w:proofErr w:type="gramStart"/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Министерство жилищно-коммунального хозяйства, топлива и энергетики Республики Северная Ос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тия-Алания, Министерство здравоохранения Республики Северная Осетия-Алания, Министерство сельского хозяйства и продовольствия Республики Северная Осетия-Алания, Министерство промышленности и  транспорта Республики Северная Осетия-Алания, Министерство образования и науки Республики Северная Осетия-Алания, Министерство физической культуры и спорта Республики Северная Осетия-Алания, Министерство культуры Ре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с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lastRenderedPageBreak/>
        <w:t>публики Северная Осетия-Алания, Министерство строительства и архите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к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туры Республики Северная Осетия-Алания, Министерство экономического развития Республики</w:t>
      </w:r>
      <w:proofErr w:type="gramEnd"/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Северная Осетия-Алания, Комитет дорожного хозя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й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ства Республики Северная Осетия-Алания, Комитет Республики Северная Осетия-Алания по делам молодежи, Комитет Республики Северная Осетия-Алания по занятости населения.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Механизм реализации Программы определяет комплекс мер, осущест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в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ляемых исполнителями и участниками Программы в целях </w:t>
      </w:r>
      <w:proofErr w:type="gramStart"/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повышения э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ф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фективности реализации мероприятий Программы</w:t>
      </w:r>
      <w:proofErr w:type="gramEnd"/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и достижения планиру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мых результатов, и предусматривает использование комплекса организац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онных и правовых мероприятий, необходимых для достижения цели и р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шения задач Программы.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Поставки товаров, выполнение работ и оказание услуг для государственных или муниципальных нужд в целях обеспечения 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ализации мероприятий Программы осуществляются в порядке, установле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ном федеральными законами от 5 апреля 2013 года № 44-ФЗ «О контрактной системе в сфере закупок товаров, работ, услуг для обеспечения государстве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ных и муниципальных нужд» и от 18 июля 2011 года № 223-ФЗ «О закупках товаров, работ, услуг отдельными видами юридических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лиц».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Перечень программных мероприятий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Программа включает в себя мероприятия, распределенные по направл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ниям социального и экономического развития Моздокского района Республ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ки Северная Осетия-Алания.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Мероприятия разработаны совместно с министерствами и ведомствами Республики Северная Осетия – Алания и утверждены постановлением Прав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тельства Республики Северная Осетия-Алания от 14.02.2017 года № 52 «О п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речне программных мероприятий, направленных на социально-экономическое развитие Моздокского района Республики Северная Осетия-Алания, на 2017-2019 годы». Приложение №2.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Внесение изменений, которые влекут изменения объемов финансиров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ния и (или) показателей результативности Программы (ее мероприятий), в ч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сти мероприятий, на которые предоставляются субсидии, осуществляется по согласованию с исполнителями и участниками Программы.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Ресурсное обеспечение реализации Программы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Общий объем финансирования Программы составляет 2951,1 млн. ру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лей, из них: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федерального бюджета -1979,0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125,4 млн. 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779,0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2019 год – 1074,6 </w:t>
      </w:r>
      <w:proofErr w:type="spellStart"/>
      <w:r w:rsidRPr="007210A7">
        <w:rPr>
          <w:rFonts w:ascii="Bookman Old Style" w:eastAsia="Times New Roman" w:hAnsi="Bookman Old Style" w:cs="Times New Roman"/>
          <w:sz w:val="24"/>
          <w:szCs w:val="24"/>
        </w:rPr>
        <w:t>млн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.р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>ублей</w:t>
      </w:r>
      <w:proofErr w:type="spellEnd"/>
      <w:r w:rsidRPr="007210A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республиканского бюджета – 683,9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186,4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139,1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2019 год  - 358,4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бюджета муниципального образования Моздокский район – 155,3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55,4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65,3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2019 год – 34,6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внебюджетные средства – 132,9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11,5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111,9 млн. рублей;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</w:rPr>
        <w:t>2019 год  - 9,5 млн. рублей.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Анализ рисков реализации Программы</w:t>
      </w:r>
    </w:p>
    <w:p w:rsidR="007210A7" w:rsidRPr="007210A7" w:rsidRDefault="007210A7" w:rsidP="007210A7">
      <w:pPr>
        <w:spacing w:after="0" w:line="240" w:lineRule="auto"/>
        <w:ind w:left="993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К основным рискам реализации Программы относятся: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финансово-экономические риски – недофинансирование мероприятий Программы, в том числе со стороны муниципалитетов;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нормативные правовые риски – непринятие или несвоевременное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нятие необходимых нормативных актов, влияющих на мероприятия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граммы;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организационные и управленческие риски – недостаточная проработка вопросов, решаемых в рамках Программы, отставание от сроков реализации мероприятий;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социальные риски, связанные с недовольством населения, общественн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сти.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тивного внесения необходимых изменений.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Организационные и управленческие риски. Устранение риска возможно за счет организации единого координационного органа по реализации Пр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граммы и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 CYR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Социальные риски могут реализоваться в недовольстве общественности низкими темпами осуществляемых изменений, связанными с ошибками в р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ализации мероприятий Программы, с планированием, недостаточно учит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ы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вающим последствия. Минимизация названного риска возможна за счет обеспечения широкого привлечения общественности к обсуждению Програ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мы, а также публичного освещения хода и результатов реализации Програ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м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мы.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7210A7" w:rsidRPr="007210A7" w:rsidRDefault="007210A7" w:rsidP="007210A7">
      <w:pPr>
        <w:spacing w:after="0" w:line="240" w:lineRule="auto"/>
        <w:ind w:left="1429"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целом реализация Программы позволит: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улучшить качество жизни населения;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улучшить социально-экономическое положение района;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снизить процент износа оборудования в жилищно-коммунальной сфере до 75% и предоставлять более качественные услуги населению;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сократить потери в  водоснабжении до 22%;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создать около 270 рабочих мест;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увеличить налогооблагаемую базу на сумму около 15 млн. рублей.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Реализация Программы позволит улучшить социально-экономическое п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ложение муниципального образования Моздокский район.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Приведет: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к росту доли обеспеченности учреждениями культурно-досугового типа (учреждений на 100 тыс. населения) с 24,2% в 2015 году до 26,5% в 2019 г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росту доли обеспеченности больничными койками на 10 тыс. человек (коек) с 59,40 в 2015 году до 59,55%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повышению уровня обеспеченности населения объектами физической культуры и спорта с 51,7 % в 2015 году до 53,6%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росту удельного веса населения, систематически занимающегося физ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ческой культурой и спортом, с 29,9% в 2015 году до 34,7%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росту доли обучающихся, занимающихся в первую смену, в общей </w:t>
      </w:r>
      <w:proofErr w:type="gramStart"/>
      <w:r w:rsidRPr="007210A7">
        <w:rPr>
          <w:rFonts w:ascii="Bookman Old Style" w:eastAsia="Times New Roman" w:hAnsi="Bookman Old Style" w:cs="Times New Roman"/>
          <w:sz w:val="24"/>
          <w:szCs w:val="24"/>
        </w:rPr>
        <w:t>чи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ленности</w:t>
      </w:r>
      <w:proofErr w:type="gramEnd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обучающихся в общеобразовательных организациях с 87,1% в 2015 году до 92,5% в 2019 году; 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увеличению охвата детей в возрасте 2 лет и старше дошкольным образ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ванием с 52,4% в 2015 году до 67,7% в 2019 году; 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снижению уровня зарегистрированной безработицы (процентов) с 2,5% в 2015 году до 2,3% в 2019 году.</w:t>
      </w: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Приложение №1</w:t>
      </w:r>
    </w:p>
    <w:p w:rsidR="007210A7" w:rsidRPr="007210A7" w:rsidRDefault="007210A7" w:rsidP="007210A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Целевые показатели и индикаторы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Программы социально-экономического развития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Моздокского района Республики Северная Осетия-Алания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на 2017-2019 годы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8"/>
          <w:szCs w:val="18"/>
        </w:rPr>
      </w:pPr>
    </w:p>
    <w:tbl>
      <w:tblPr>
        <w:tblpPr w:leftFromText="180" w:rightFromText="180" w:bottomFromText="200" w:vertAnchor="text" w:horzAnchor="margin" w:tblpY="8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1"/>
        <w:gridCol w:w="968"/>
        <w:gridCol w:w="969"/>
        <w:gridCol w:w="969"/>
        <w:gridCol w:w="968"/>
      </w:tblGrid>
      <w:tr w:rsidR="007210A7" w:rsidRPr="007210A7" w:rsidTr="00721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№</w:t>
            </w:r>
          </w:p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proofErr w:type="gramStart"/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2015 год</w:t>
            </w:r>
          </w:p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2019 год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tabs>
                <w:tab w:val="left" w:pos="93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учреждениями культурно-досугового типа (учреждений на 100 тыс. нас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ления)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24,20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25,30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25,30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26,50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Уровень обеспеченности населения объектами физической культуры и спорта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51,70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51,70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53,50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53,60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Удельный вес населения, систематически зан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мающегося физической культурой и спортом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29,90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30,60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33,50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34,70</w:t>
            </w:r>
          </w:p>
        </w:tc>
      </w:tr>
      <w:tr w:rsidR="007210A7" w:rsidRPr="007210A7" w:rsidTr="007210A7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больничными койками на 10 тыс. человек (коек)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59,55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Доля обучающихся, занимающихся в первую смену, в общей численности обучающихся о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б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щеобразовательных организациях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92,50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Охват детей в возрасте 2 лет и старше д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школьным образованием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52,40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64,60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64,60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67,70</w:t>
            </w:r>
          </w:p>
        </w:tc>
      </w:tr>
      <w:tr w:rsidR="007210A7" w:rsidRPr="007210A7" w:rsidTr="007210A7">
        <w:trPr>
          <w:trHeight w:val="1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амбулаторно-поликлиниче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softHyphen/>
              <w:t>скими учреждениями на 10 тыс. человек нас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ления (посещений в смену)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ind w:right="-30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150,80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ind w:right="-101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</w:tr>
      <w:tr w:rsidR="007210A7" w:rsidRPr="007210A7" w:rsidTr="007210A7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Уровень зарегистрированной безработицы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2,30</w:t>
            </w:r>
          </w:p>
        </w:tc>
      </w:tr>
    </w:tbl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4"/>
        <w:gridCol w:w="2780"/>
        <w:gridCol w:w="1331"/>
        <w:gridCol w:w="850"/>
        <w:gridCol w:w="992"/>
        <w:gridCol w:w="956"/>
      </w:tblGrid>
      <w:tr w:rsidR="007210A7" w:rsidRPr="007210A7" w:rsidTr="007210A7">
        <w:trPr>
          <w:trHeight w:val="31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7210A7" w:rsidRPr="007210A7" w:rsidTr="007210A7">
        <w:trPr>
          <w:trHeight w:val="144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ПЕРЕЧЕНЬ   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br/>
              <w:t xml:space="preserve"> программных мероприятий, направленных </w:t>
            </w:r>
          </w:p>
          <w:p w:rsid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на социально-экономическое развитие Моздокского района </w:t>
            </w:r>
          </w:p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Республики Северная Осетия-Алания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,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на 2017-2019 годы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Наименование м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роприятия (объе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Источники финансир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Объемы ф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нансиров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ния, 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br/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млн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 ру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б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Годы реализации,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млн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 рублей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  ВСЕГО по всем мероприятиям (объе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там)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2 951,1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1 477,1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1 074,6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358,4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I. Развитие реального сектора экономики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1. Развитие агр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промышленн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 xml:space="preserve">го 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br/>
              <w:t>комплекса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1.1. Строительство и реконструкция орошаемого учас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ка площ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дью 640 га в КФХ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Тетцоева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Георгия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Заурбек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вича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II. Развитие социальной сферы и молодежной политики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2. Развитие здр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воохран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2.1. Текущий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монт 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Притеречной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участковой бол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ницы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2.2. Поликлиника на 850 посещений в смену по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ул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.К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ирова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г.Моздоке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РСО-Алания. Литер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, Г (корректировка)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110,1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2.3. Строительство родильного отдел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на 45 коек на территории ГБУЗ «Моздокская це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тральная ра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онная больница» Мин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стерства здрав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охранения РСО-Алания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2.4. Строительство фель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шерско-акушерского пун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та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.О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ктябрьское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2.5. Строительство амбулатории на 100 п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сещений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изляр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Моздо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ского ра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2.6. Капитальный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монт врачебной амбулатории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иноградное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2.7. Капитальный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монт врачебной амбулатории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авлодольская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2.8. Закупка авт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мобилей скорой медицинской п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мощи росси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ского произво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3. Развитие общ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го, дошкольного и пр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фессионального обр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669,9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584,1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647,2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22,7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3.1. Приобретение жилого дома и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струкция его под де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ский дом для детей-сирот и детей, оста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шихся без попечения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дителей,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3.2. Строительство детского сада на 150 мест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.Л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уковской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202,2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188,0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3.3. Строительство школы на 500 мест по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ул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.Ю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билейная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г.Моздок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349,3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345,8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3.4. Дошкольное обр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зовательное учрежд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ние на 230 мест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3.5. МБДОУ Де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ский сад № 34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оздок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.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br/>
              <w:t xml:space="preserve">Строительство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здания (пристро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ки к зданию)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школьной образ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вательной орган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3.6. МБДОУ Де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ский сад № 2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оздок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.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br w:type="page"/>
              <w:t>Стро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тельство здания (пристройки к зд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нию) дошкольной образов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тельной организ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3.7. МБДОУ Де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ский сад № 24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.Т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роицкое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Строительство здания (пристро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ки к зданию) 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школьной образ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вательной орган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зации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23,9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3.8. Строительство пристройки к зд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нию 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 xml:space="preserve">МБДОУ Детский сад № 24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.Т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роицкое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3.9. Строительство пристройки к зд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нию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МБДОУ Де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ский сад № 12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3.10. Строител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ство пр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стройки к зданию 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 xml:space="preserve">МБДОУ Детский сад № 5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3.11. Создание в общеобразовател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ных организациях, расп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ложенных в сельской местн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сти, условий для занятий физич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ской культурой и спортом. МБОУ - СОШ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ерская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3.12. Создание в общеобразовател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ных организациях, расп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ложенных в сельской местн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сти, условий для занятий физич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ской культурой и спортом. МБОУ - СОШ п.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Притере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ч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ный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7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3.13 Создание в общеобразовател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ных орг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низациях, распол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женных в сельской местн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сти, условий для занятий физич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ской культурой и спортом. МБОУ - СОШ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редгорное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3.14 Строительство детск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го сада на 120 мест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редгорное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, Моздокский район (проектно-изыскательские раб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ты)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3.15 Строительство школы на 200 мест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.Ч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ерноярская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 Республики С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294,7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3.16. Строител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ство школы на 500 мест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.К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изляр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на Республики С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3.17. Закупка школьных автоб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4. Развитие физ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ческой культуры и спорта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46,9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федеральный 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42,6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4.1. Строительство физкульту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но-оздоровительного комплекса откр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ы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того типа по адр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су: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27,9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4.2. Многофункц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ональная игровая пл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щадка 800 м2 с детским спорти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но-оздоровительным комплексом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.К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изляр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Моздо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213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4.3. Многофункци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нальная игровая площадка 800 м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 детским спорти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но-оздоровительным комплексом в ст.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Ново-Осетинская 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7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4.4. Многофункц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ональная игровая пл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щадка 800 м2 с детским спорти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но-оздоровительным комплексом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.В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иноградно</w:t>
            </w:r>
            <w:bookmarkStart w:id="7" w:name="_GoBack"/>
            <w:bookmarkEnd w:id="7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Моздокского рай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внебюджетные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5. Развитие кул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5.1. Строительство Дома культуры на 300 мест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иноградное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6. Создание усл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вий для обеспеч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ния 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ступным и комфортным ж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льем жителей Моздокского рай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6.1. Обеспечение ж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льем отдельных категорий гра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дан, установле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ных Федерал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ным законом от 12 я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варя 1995 года № 5-ФЗ "О ветер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нах", в соотве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ствии с Указом Президента Ро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сийской Федер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ции от 7 мая 2008 года № 714 "Об обеспечении жил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ем ветеранов 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ликой Отечестве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ной войны 1941 - 1945 г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дов"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6.2. Предоставл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 жилых пом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щений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тям-сиротам, детям,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оставшимся без попечения родит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лей, лицам из чи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ла детей-сирот и детей, оста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шихся без попечения 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дителей, по дог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ворам найма сп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циализир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ванных жилых помещений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6.3. Обеспечение ж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льем категорий граждан, по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вергшихся ради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ционному возде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ствию вследствие катастрофы на Чернобыльской АЭС, аварии на прои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водственном объединении "М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як", и приравне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ных к ним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6.4. Обеспечение ж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льем категорий граждан, призна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ных в установле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ном порядке 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ы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нужденными пер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селенцами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6.5. Обеспечение жильем мол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дых семей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6.6. Улучшение жилищных усл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вий граждан, пр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живающих в сел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ской мес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ности, в том числе м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лодых семей и мол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дых специал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6.7. Переселение граждан из мног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квартирных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мов, пр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знанных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аварийными и подлежащими сн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су и не входящих в действующие пр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граммы пересел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7. Обеспечение з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нятости насел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7.1. Трудоустро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ство граждан в рамках республ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канских пр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грамм по содействию 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нятости населения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III. Развитие инфраструктуры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8. Развитие ж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лищно-коммунального х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зя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8.1. Реконструкция водопроводных 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тей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ельмана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8.2. Реконструкция водопроводной 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ти в 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ритеречном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, отдел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ние №3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8.3. Реконструкция водопроводных 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тей в 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редгорное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8.4. Создание 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боратории ко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троля кач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ства и безопасности п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тьевой воды в Моздокском ра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оне на б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зе МУП "Моздокский вод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канал"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8.5. Мероприятия по благоустройству дворовых террит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рий многоква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тирных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мов в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оздок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IV. Развитие транспортной инфраструктуры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9. Развитие транспортной инфр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структуры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1 006,6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694,6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333,6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327,3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9.1. Реконструкция автомобильной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роги "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Павлодол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ская-Притеречный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", подъезд к первому отделению живо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новодческой фе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"Добрый пр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дукт"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9.2. Ремонт авт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дороги "Подъезд к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алгобек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, км 1,7 - км 2,753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9.3. Ремонт авт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дороги "Моздок-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Малгобек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Хурикау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" на участке "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Сухо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-Виноградное", км 13,35 - км 21,635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9.4. Ремонт авт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дороги "Ставр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поль Прохла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ный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-М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оздок-Кизляр-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Крайновка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" км 0,0 -  км 1,1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9.5. Содержание автодорог реги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нального (межм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у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ниципального) значения и иску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ственных соор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у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жений на них, в том числе нанес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 горизонтал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ной ра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метки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78,2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78,2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9.6. Реконструкция автомобильной 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роги "Кавказ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"-</w:t>
            </w:r>
            <w:proofErr w:type="spellStart"/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Хурикау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Малгобек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-Моздок" км 0,0 - км 61,6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333,6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9.7. Выполнение инженерных изы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каний и разрабо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ка проектной 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кументации на объект "Реко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струкция мостов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го перехода через канал на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26,77 автодороги "Мо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док-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Малгобек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Хурикау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9.8. ПИР на реко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струкцию автом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бильной дороги "Кавказ" -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Хурикау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</w:t>
            </w:r>
            <w:proofErr w:type="spell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Малгобек</w:t>
            </w:r>
            <w:proofErr w:type="spell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Мо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док, </w:t>
            </w:r>
            <w:proofErr w:type="gramStart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км</w:t>
            </w:r>
            <w:proofErr w:type="gramEnd"/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0,0 - км 61,6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9.9. Предоставл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 субсидий местному бюджету МО Моздо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ский район на доро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ную деятельность в отношении авт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мобильных дорог общего пользов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ния местного зн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9.10. Содержание дорог общего пол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ь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зования мес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ного значения (за счет а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цизов)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д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P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7210A7" w:rsidSect="009C30E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83" w:rsidRDefault="002F2883" w:rsidP="007210A7">
      <w:pPr>
        <w:spacing w:after="0" w:line="240" w:lineRule="auto"/>
      </w:pPr>
      <w:r>
        <w:separator/>
      </w:r>
    </w:p>
  </w:endnote>
  <w:endnote w:type="continuationSeparator" w:id="0">
    <w:p w:rsidR="002F2883" w:rsidRDefault="002F2883" w:rsidP="0072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4880"/>
      <w:docPartObj>
        <w:docPartGallery w:val="Page Numbers (Bottom of Page)"/>
        <w:docPartUnique/>
      </w:docPartObj>
    </w:sdtPr>
    <w:sdtContent>
      <w:p w:rsidR="007210A7" w:rsidRDefault="007210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C1">
          <w:rPr>
            <w:noProof/>
          </w:rPr>
          <w:t>28</w:t>
        </w:r>
        <w:r>
          <w:fldChar w:fldCharType="end"/>
        </w:r>
      </w:p>
    </w:sdtContent>
  </w:sdt>
  <w:p w:rsidR="007210A7" w:rsidRDefault="00721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83" w:rsidRDefault="002F2883" w:rsidP="007210A7">
      <w:pPr>
        <w:spacing w:after="0" w:line="240" w:lineRule="auto"/>
      </w:pPr>
      <w:r>
        <w:separator/>
      </w:r>
    </w:p>
  </w:footnote>
  <w:footnote w:type="continuationSeparator" w:id="0">
    <w:p w:rsidR="002F2883" w:rsidRDefault="002F2883" w:rsidP="0072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B9D"/>
    <w:rsid w:val="0005023C"/>
    <w:rsid w:val="00083B40"/>
    <w:rsid w:val="001248BF"/>
    <w:rsid w:val="001E01D1"/>
    <w:rsid w:val="002F2883"/>
    <w:rsid w:val="003C26D2"/>
    <w:rsid w:val="003E68B2"/>
    <w:rsid w:val="005674C1"/>
    <w:rsid w:val="005A7B9D"/>
    <w:rsid w:val="007210A7"/>
    <w:rsid w:val="00745CF7"/>
    <w:rsid w:val="008510ED"/>
    <w:rsid w:val="00852BAC"/>
    <w:rsid w:val="0088579F"/>
    <w:rsid w:val="008D2DD1"/>
    <w:rsid w:val="009C30EA"/>
    <w:rsid w:val="00A50D71"/>
    <w:rsid w:val="00EC4333"/>
    <w:rsid w:val="00F52BA2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0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0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7492</Words>
  <Characters>42708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User1</cp:lastModifiedBy>
  <cp:revision>10</cp:revision>
  <cp:lastPrinted>2019-05-28T06:34:00Z</cp:lastPrinted>
  <dcterms:created xsi:type="dcterms:W3CDTF">2019-05-13T09:54:00Z</dcterms:created>
  <dcterms:modified xsi:type="dcterms:W3CDTF">2019-06-05T14:25:00Z</dcterms:modified>
</cp:coreProperties>
</file>